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F47" w:rsidRDefault="00F73F47" w:rsidP="00F73F47">
      <w:pPr>
        <w:jc w:val="center"/>
        <w:rPr>
          <w:rFonts w:eastAsia="Times New Roman"/>
        </w:rPr>
      </w:pPr>
      <w:r>
        <w:rPr>
          <w:rFonts w:eastAsia="Times New Roman"/>
        </w:rPr>
        <w:t>Лекция 19. Преобразование сигналов в каналах связи. Аддитивные помехи в канале</w:t>
      </w:r>
    </w:p>
    <w:p w:rsidR="00F73F47" w:rsidRDefault="00F73F47" w:rsidP="00F73F47">
      <w:pPr>
        <w:jc w:val="center"/>
      </w:pPr>
    </w:p>
    <w:p w:rsidR="00F73F47" w:rsidRDefault="00F73F47" w:rsidP="00F73F47">
      <w:pPr>
        <w:jc w:val="center"/>
      </w:pPr>
      <w:r>
        <w:t>Содержание лекции:</w:t>
      </w:r>
    </w:p>
    <w:p w:rsidR="00F73F47" w:rsidRDefault="00F73F47" w:rsidP="00F73F47">
      <w:pPr>
        <w:jc w:val="center"/>
      </w:pPr>
      <w:r>
        <w:t>- прохождение сигналов через случайные каналы связи. Флуктуационные помехи. Сосредоточенные по спектру помехи. Импульсные помехи. Шумы приемных антенн.</w:t>
      </w:r>
    </w:p>
    <w:p w:rsidR="00F73F47" w:rsidRDefault="00F73F47" w:rsidP="00F73F47">
      <w:pPr>
        <w:jc w:val="center"/>
        <w:rPr>
          <w:rFonts w:eastAsia="Times New Roman"/>
        </w:rPr>
      </w:pPr>
    </w:p>
    <w:p w:rsidR="00F73F47" w:rsidRDefault="00F73F47" w:rsidP="00F73F47">
      <w:pPr>
        <w:jc w:val="center"/>
      </w:pPr>
      <w:r>
        <w:t>Цель лекции:</w:t>
      </w:r>
    </w:p>
    <w:p w:rsidR="00F73F47" w:rsidRDefault="00F73F47" w:rsidP="00F73F47">
      <w:pPr>
        <w:jc w:val="center"/>
      </w:pPr>
      <w:r>
        <w:t>- рассмотреть в общих чертах характерные преобразования сигнала в случай</w:t>
      </w:r>
      <w:r>
        <w:softHyphen/>
        <w:t>ных линейных каналах (цепях). Познакомиться с физическими явлениями, которые порождают флуктуации напряжения и тока в радиотехнических цепях.</w:t>
      </w:r>
    </w:p>
    <w:p w:rsidR="00F73F47" w:rsidRDefault="00F73F47" w:rsidP="00F73F47">
      <w:pPr>
        <w:jc w:val="center"/>
      </w:pPr>
    </w:p>
    <w:p w:rsidR="00F73F47" w:rsidRDefault="00F73F47" w:rsidP="00F73F47">
      <w:pPr>
        <w:jc w:val="center"/>
      </w:pPr>
      <w:r>
        <w:t>В простейшем случае случайное преобразование сигнала сводится к суммированию сигнала с независимым от него случайным процессом, называемым аддитивной помехой или аддитив</w:t>
      </w:r>
      <w:r>
        <w:softHyphen/>
        <w:t>ным шумом. В более сложных каналах к этому добавляются случайные изме</w:t>
      </w:r>
      <w:r>
        <w:softHyphen/>
        <w:t>нения параметров канала, в результате которых даже в отсутствие аддитивных помех принимаемый сигнал не определяется однозначно передаваемым.</w:t>
      </w:r>
    </w:p>
    <w:p w:rsidR="00F73F47" w:rsidRDefault="00F73F47" w:rsidP="00F73F47">
      <w:pPr>
        <w:jc w:val="center"/>
      </w:pPr>
      <w:r>
        <w:t xml:space="preserve">В самом общем виде линейную систему (или линейный канал) можно описать случайной ИХ </w:t>
      </w:r>
      <w:r>
        <w:rPr>
          <w:i/>
          <w:iCs/>
          <w:lang w:val="en-US"/>
        </w:rPr>
        <w:t>G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,</w:t>
      </w:r>
      <w:r>
        <w:rPr>
          <w:i/>
          <w:noProof/>
          <w:vertAlign w:val="subscript"/>
        </w:rPr>
        <w:drawing>
          <wp:inline distT="0" distB="0" distL="0" distR="0" wp14:anchorId="5D1C7E55" wp14:editId="292760EA">
            <wp:extent cx="123825" cy="142875"/>
            <wp:effectExtent l="0" t="0" r="9525" b="9525"/>
            <wp:docPr id="1" name="Picture 1" descr="C:\Users\Василий\Desktop\Нов лек ТЭС\Лекции ТЭС последние\ГЛАВА 2_files\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Василий\Desktop\Нов лек ТЭС\Лекции ТЭС последние\ГЛАВА 2_files\image066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)</w:t>
      </w:r>
      <w:r>
        <w:t xml:space="preserve">, представляющей случайную функцию двух аргументов: </w:t>
      </w:r>
      <w:r>
        <w:rPr>
          <w:i/>
          <w:iCs/>
          <w:lang w:val="en-US"/>
        </w:rPr>
        <w:t>t</w:t>
      </w:r>
      <w:r w:rsidRPr="00DF3D91">
        <w:rPr>
          <w:i/>
          <w:iCs/>
        </w:rPr>
        <w:t xml:space="preserve"> </w:t>
      </w:r>
      <w:r>
        <w:t xml:space="preserve">(момента наблюдения реакции) и </w:t>
      </w:r>
      <w:r>
        <w:rPr>
          <w:rFonts w:ascii="Symbol" w:hAnsi="Symbol"/>
        </w:rPr>
        <w:t></w:t>
      </w:r>
      <w:r>
        <w:t xml:space="preserve"> (времени, прошедшего с момента подачи </w:t>
      </w:r>
      <w:r>
        <w:rPr>
          <w:rFonts w:ascii="Symbol" w:hAnsi="Symbol"/>
        </w:rPr>
        <w:t></w:t>
      </w:r>
      <w:r>
        <w:t>-импульса на вход цепи). Такова, например, ИХ любой линейной системы, па</w:t>
      </w:r>
      <w:r>
        <w:softHyphen/>
        <w:t>раметры которой подвергаются воздействию случайных внешних влияний, на</w:t>
      </w:r>
      <w:r>
        <w:softHyphen/>
        <w:t>пример, температуры, давления, влажности и т.д. Случайный линейный канал можно характеризовать также случайной пере</w:t>
      </w:r>
      <w:r>
        <w:softHyphen/>
        <w:t xml:space="preserve">даточной функцией переменных </w:t>
      </w:r>
      <w:r>
        <w:rPr>
          <w:noProof/>
          <w:vertAlign w:val="subscript"/>
        </w:rPr>
        <w:drawing>
          <wp:inline distT="0" distB="0" distL="0" distR="0" wp14:anchorId="66BDC945" wp14:editId="19DF5B39">
            <wp:extent cx="152400" cy="142875"/>
            <wp:effectExtent l="0" t="0" r="0" b="9525"/>
            <wp:docPr id="2" name="Picture 2" descr="C:\Users\Василий\Desktop\Нов лек ТЭС\Лекции ТЭС последние\ГЛАВА 2_files\image3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Василий\Desktop\Нов лек ТЭС\Лекции ТЭС последние\ГЛАВА 2_files\image374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и </w:t>
      </w:r>
      <w:r>
        <w:rPr>
          <w:i/>
          <w:iCs/>
          <w:lang w:val="en-US"/>
        </w:rPr>
        <w:t>t</w:t>
      </w:r>
    </w:p>
    <w:p w:rsidR="00F73F47" w:rsidRDefault="00F73F47" w:rsidP="00F73F47">
      <w:pPr>
        <w:jc w:val="center"/>
      </w:pPr>
      <w:r>
        <w:rPr>
          <w:noProof/>
          <w:vertAlign w:val="subscript"/>
        </w:rPr>
        <w:drawing>
          <wp:inline distT="0" distB="0" distL="0" distR="0" wp14:anchorId="28BB568D" wp14:editId="35F42595">
            <wp:extent cx="1666875" cy="466725"/>
            <wp:effectExtent l="0" t="0" r="9525" b="9525"/>
            <wp:docPr id="3" name="Picture 3" descr="C:\Users\Василий\Desktop\Нов лек ТЭС\Лекции ТЭС последние\ГЛАВА 2_files\image3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Василий\Desktop\Нов лек ТЭС\Лекции ТЭС последние\ГЛАВА 2_files\image375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 (19.1)</w:t>
      </w:r>
    </w:p>
    <w:p w:rsidR="00F73F47" w:rsidRDefault="00F73F47" w:rsidP="00F73F47">
      <w:pPr>
        <w:jc w:val="center"/>
      </w:pPr>
      <w:r>
        <w:t xml:space="preserve">Функция корреляции процесса </w:t>
      </w:r>
      <w:r>
        <w:rPr>
          <w:i/>
          <w:iCs/>
          <w:lang w:val="en-US"/>
        </w:rPr>
        <w:t>Y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на выходе случайного канала с характеристикой (4.41) при подаче на вход стационарного процесса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определяется выражением</w:t>
      </w:r>
    </w:p>
    <w:p w:rsidR="00F73F47" w:rsidRDefault="00F73F47" w:rsidP="00F73F47">
      <w:pPr>
        <w:jc w:val="center"/>
      </w:pPr>
      <w:r>
        <w:rPr>
          <w:noProof/>
          <w:vertAlign w:val="subscript"/>
        </w:rPr>
        <w:drawing>
          <wp:inline distT="0" distB="0" distL="0" distR="0" wp14:anchorId="72528E1B" wp14:editId="64229EDD">
            <wp:extent cx="2133600" cy="466725"/>
            <wp:effectExtent l="0" t="0" r="0" b="9525"/>
            <wp:docPr id="4" name="Picture 4" descr="C:\Users\Василий\Desktop\Нов лек ТЭС\Лекции ТЭС последние\ГЛАВА 2_files\image3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Василий\Desktop\Нов лек ТЭС\Лекции ТЭС последние\ГЛАВА 2_files\image376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         (19.2)</w:t>
      </w:r>
    </w:p>
    <w:p w:rsidR="00F73F47" w:rsidRDefault="00F73F47" w:rsidP="00F73F47">
      <w:pPr>
        <w:jc w:val="center"/>
      </w:pPr>
      <w:r>
        <w:t xml:space="preserve">где </w:t>
      </w:r>
      <w:r>
        <w:rPr>
          <w:noProof/>
          <w:vertAlign w:val="subscript"/>
        </w:rPr>
        <w:drawing>
          <wp:inline distT="0" distB="0" distL="0" distR="0" wp14:anchorId="1F356445" wp14:editId="5E5478B1">
            <wp:extent cx="2133600" cy="257175"/>
            <wp:effectExtent l="0" t="0" r="0" b="9525"/>
            <wp:docPr id="5" name="Picture 5" descr="C:\Users\Василий\Desktop\Нов лек ТЭС\Лекции ТЭС последние\ГЛАВА 2_files\image3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Василий\Desktop\Нов лек ТЭС\Лекции ТЭС последние\ГЛАВА 2_files\image377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-</w:t>
      </w:r>
      <w:r>
        <w:t xml:space="preserve"> системная характеристика случайного кана</w:t>
      </w:r>
      <w:r>
        <w:softHyphen/>
        <w:t>ла.</w:t>
      </w:r>
    </w:p>
    <w:p w:rsidR="00F73F47" w:rsidRDefault="00F73F47" w:rsidP="00F73F47">
      <w:pPr>
        <w:jc w:val="center"/>
      </w:pPr>
      <w:r>
        <w:t xml:space="preserve">Остановимся подробнее на моделях, с которыми чаще всего приходится встречаться. Модель для случайного входного воздействия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</w:p>
    <w:p w:rsidR="00F73F47" w:rsidRDefault="00F73F47" w:rsidP="00F73F47">
      <w:pPr>
        <w:jc w:val="center"/>
      </w:pPr>
      <w:r>
        <w:rPr>
          <w:noProof/>
          <w:vertAlign w:val="subscript"/>
        </w:rPr>
        <w:drawing>
          <wp:inline distT="0" distB="0" distL="0" distR="0" wp14:anchorId="69A6FF08" wp14:editId="4692C2DA">
            <wp:extent cx="990600" cy="200025"/>
            <wp:effectExtent l="0" t="0" r="0" b="9525"/>
            <wp:docPr id="6" name="Picture 6" descr="C:\Users\Василий\Desktop\Нов лек ТЭС\Лекции ТЭС последние\ГЛАВА 2_files\image3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Василий\Desktop\Нов лек ТЭС\Лекции ТЭС последние\ГЛАВА 2_files\image378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                                           (19.3)</w:t>
      </w:r>
    </w:p>
    <w:p w:rsidR="00F73F47" w:rsidRDefault="00F73F47" w:rsidP="00F73F47">
      <w:pPr>
        <w:jc w:val="center"/>
      </w:pPr>
      <w:r>
        <w:t xml:space="preserve">где параметры </w:t>
      </w:r>
      <w:r>
        <w:rPr>
          <w:rFonts w:ascii="Symbol" w:hAnsi="Symbol"/>
        </w:rPr>
        <w:t></w:t>
      </w:r>
      <w:r>
        <w:t xml:space="preserve"> и (или) </w:t>
      </w:r>
      <w:r>
        <w:rPr>
          <w:rFonts w:ascii="Symbol" w:hAnsi="Symbol"/>
        </w:rPr>
        <w:t></w:t>
      </w:r>
      <w:r>
        <w:t xml:space="preserve"> флуктуируют. Обычно такие флуктуации в проводных линиях связи вызываются изменениями внешних условий и происходят чрезвычайно медленно и в очень не больших относительных пределах. В радиоканалах при многолучевом распро</w:t>
      </w:r>
      <w:r>
        <w:softHyphen/>
        <w:t>странении волн, в гидроакустических каналах и других флуктуации выражены более заметно.</w:t>
      </w:r>
    </w:p>
    <w:p w:rsidR="00F73F47" w:rsidRDefault="00F73F47" w:rsidP="00F73F47">
      <w:pPr>
        <w:jc w:val="center"/>
      </w:pPr>
      <w:r>
        <w:t>Более сложный случай имеет место, когда сигнал проходит по параллель</w:t>
      </w:r>
      <w:r>
        <w:softHyphen/>
        <w:t>ным путям от входа канала к его выходу (рисунок 19.1), так что на выходе каждого пути сигнал имеет вид</w:t>
      </w:r>
    </w:p>
    <w:p w:rsidR="00F73F47" w:rsidRDefault="00F73F47" w:rsidP="00F73F47">
      <w:pPr>
        <w:jc w:val="center"/>
      </w:pPr>
      <w:r>
        <w:rPr>
          <w:noProof/>
          <w:vertAlign w:val="subscript"/>
        </w:rPr>
        <w:drawing>
          <wp:inline distT="0" distB="0" distL="0" distR="0" wp14:anchorId="074A0316" wp14:editId="3D6506F5">
            <wp:extent cx="6010275" cy="257175"/>
            <wp:effectExtent l="0" t="0" r="9525" b="9525"/>
            <wp:docPr id="7" name="Picture 7" descr="C:\Users\Василий\Desktop\Нов лек ТЭС\Лекции ТЭС последние\ГЛАВА 2_files\image3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Василий\Desktop\Нов лек ТЭС\Лекции ТЭС последние\ГЛАВА 2_files\image379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</w:p>
    <w:p w:rsidR="00F73F47" w:rsidRDefault="00F73F47" w:rsidP="00F73F47">
      <w:pPr>
        <w:jc w:val="center"/>
      </w:pPr>
      <w:r>
        <w:t xml:space="preserve">где </w:t>
      </w:r>
      <w:r>
        <w:rPr>
          <w:noProof/>
          <w:vertAlign w:val="subscript"/>
        </w:rPr>
        <w:drawing>
          <wp:inline distT="0" distB="0" distL="0" distR="0" wp14:anchorId="67C8C609" wp14:editId="1C6229BA">
            <wp:extent cx="723900" cy="228600"/>
            <wp:effectExtent l="0" t="0" r="0" b="0"/>
            <wp:docPr id="8" name="Picture 8" descr="C:\Users\Василий\Desktop\Нов лек ТЭС\Лекции ТЭС последние\ГЛАВА 2_files\image3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Василий\Desktop\Нов лек ТЭС\Лекции ТЭС последние\ГЛАВА 2_files\image380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фазовый сдвиг в канале, </w:t>
      </w:r>
      <w:r>
        <w:rPr>
          <w:lang w:val="en-US"/>
        </w:rPr>
        <w:t>a</w:t>
      </w:r>
      <w:r w:rsidRPr="00DF3D91">
        <w:t xml:space="preserve"> </w:t>
      </w:r>
      <w:r>
        <w:rPr>
          <w:i/>
          <w:noProof/>
          <w:vertAlign w:val="subscript"/>
        </w:rPr>
        <w:drawing>
          <wp:inline distT="0" distB="0" distL="0" distR="0" wp14:anchorId="7CE791F8" wp14:editId="5AD7C948">
            <wp:extent cx="180975" cy="200025"/>
            <wp:effectExtent l="0" t="0" r="9525" b="9525"/>
            <wp:docPr id="9" name="Picture 9" descr="C:\Users\Василий\Desktop\Нов лек ТЭС\Лекции ТЭС последние\ГЛАВА 2_files\image3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Василий\Desktop\Нов лек ТЭС\Лекции ТЭС последние\ГЛАВА 2_files\image315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 —</w:t>
      </w:r>
      <w:r>
        <w:t xml:space="preserve"> процесс, сопряжённый с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</w:t>
      </w:r>
      <w:r>
        <w:t xml:space="preserve">по Гильберту, но значения </w:t>
      </w:r>
      <w:r>
        <w:rPr>
          <w:noProof/>
          <w:vertAlign w:val="subscript"/>
        </w:rPr>
        <w:drawing>
          <wp:inline distT="0" distB="0" distL="0" distR="0" wp14:anchorId="2351C878" wp14:editId="138459FF">
            <wp:extent cx="123825" cy="161925"/>
            <wp:effectExtent l="0" t="0" r="9525" b="9525"/>
            <wp:docPr id="10" name="Picture 10" descr="C:\Users\Василий\Desktop\Нов лек ТЭС\Лекции ТЭС последние\ГЛАВА 2_files\image3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Василий\Desktop\Нов лек ТЭС\Лекции ТЭС последние\ГЛАВА 2_files\image381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и </w:t>
      </w:r>
      <w:r>
        <w:rPr>
          <w:noProof/>
          <w:vertAlign w:val="subscript"/>
        </w:rPr>
        <w:drawing>
          <wp:inline distT="0" distB="0" distL="0" distR="0" wp14:anchorId="577D3A2B" wp14:editId="7A2D55BD">
            <wp:extent cx="123825" cy="142875"/>
            <wp:effectExtent l="0" t="0" r="9525" b="9525"/>
            <wp:docPr id="11" name="Picture 11" descr="C:\Users\Василий\Desktop\Нов лек ТЭС\Лекции ТЭС последние\ГЛАВА 2_files\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Василий\Desktop\Нов лек ТЭС\Лекции ТЭС последние\ГЛАВА 2_files\image066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для разных путей различны и к тому же в небольших пределах флуктуируют. Такого рода многопутевое распространение сигнала характерно для боль</w:t>
      </w:r>
      <w:r>
        <w:softHyphen/>
        <w:t>шинства радио-, гидроакусти</w:t>
      </w:r>
      <w:r>
        <w:softHyphen/>
        <w:t>ческих и некоторых других каналов (в том числе проводных).</w:t>
      </w:r>
    </w:p>
    <w:p w:rsidR="00F73F47" w:rsidRDefault="00F73F47" w:rsidP="00F73F47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383F36DC" wp14:editId="6C2871D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90850" cy="504825"/>
            <wp:effectExtent l="0" t="0" r="0" b="9525"/>
            <wp:wrapSquare wrapText="bothSides"/>
            <wp:docPr id="12" name="Picture 62" descr="Подпись: Рисунок 19.1- Многопутевое&#10;распространение&#10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Подпись: Рисунок 19.1- Многопутевое&#10;распространение&#10;&#10;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66A4D9E3" wp14:editId="5D47D91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52750" cy="962025"/>
            <wp:effectExtent l="0" t="0" r="0" b="9525"/>
            <wp:wrapSquare wrapText="bothSides"/>
            <wp:docPr id="13" name="Picture 63" descr="C:\Users\Василий\Desktop\Нов лек ТЭС\Лекции ТЭС последние\ГЛАВА 2_files\image3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Василий\Desktop\Нов лек ТЭС\Лекции ТЭС последние\ГЛАВА 2_files\image383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962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Энергия волны распространяется обычно в неоднородной среде и испытывает отражение от различных неоднородностей. Эти неоднородности могут быть распределены внутри относительно небольшого отражающего (рассеивающего) объёма. В этом случае разности хода (разности значений </w:t>
      </w:r>
      <w:r>
        <w:rPr>
          <w:noProof/>
          <w:vertAlign w:val="subscript"/>
        </w:rPr>
        <w:drawing>
          <wp:inline distT="0" distB="0" distL="0" distR="0" wp14:anchorId="285F47D4" wp14:editId="6A536402">
            <wp:extent cx="123825" cy="142875"/>
            <wp:effectExtent l="0" t="0" r="9525" b="9525"/>
            <wp:docPr id="14" name="Picture 14" descr="C:\Users\Василий\Desktop\Нов лек ТЭС\Лекции ТЭС последние\ГЛАВА 2_files\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Василий\Desktop\Нов лек ТЭС\Лекции ТЭС последние\ГЛАВА 2_files\image066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) для отдельных пу</w:t>
      </w:r>
      <w:r>
        <w:softHyphen/>
        <w:t>тей невелики. Если по такому каналу направить очень короткий импульс, то и на его выходе импульс будет довольно коротким. Такой канал принято назы</w:t>
      </w:r>
      <w:r>
        <w:softHyphen/>
        <w:t xml:space="preserve">вать </w:t>
      </w:r>
      <w:r>
        <w:rPr>
          <w:i/>
          <w:iCs/>
        </w:rPr>
        <w:t>однолучевым.</w:t>
      </w:r>
      <w:r>
        <w:t xml:space="preserve"> Наличие разных путей ("подлучей") не вызывает в этом случае существенного рассеяния (растяжения) сигна</w:t>
      </w:r>
      <w:r>
        <w:softHyphen/>
        <w:t>ла во времени, но приводит к возникновению явления замираний, которое за</w:t>
      </w:r>
      <w:r>
        <w:softHyphen/>
        <w:t>ключается в более или менее быстрых случайных изменениях передаточной функции канала (</w:t>
      </w:r>
      <w:r>
        <w:rPr>
          <w:i/>
          <w:iCs/>
        </w:rPr>
        <w:t>мультипликативная помеха</w:t>
      </w:r>
      <w:r>
        <w:t>).</w:t>
      </w:r>
    </w:p>
    <w:p w:rsidR="00F73F47" w:rsidRDefault="00F73F47" w:rsidP="00F73F47">
      <w:pPr>
        <w:jc w:val="center"/>
      </w:pPr>
      <w:r>
        <w:t>Если по однолучевому каналу с замираниями передаётся относительно уз</w:t>
      </w:r>
      <w:r>
        <w:softHyphen/>
        <w:t xml:space="preserve">кополосный сигнал, а среднеквадратическое отклонение запаздывания </w:t>
      </w:r>
      <w:r>
        <w:rPr>
          <w:noProof/>
          <w:vertAlign w:val="subscript"/>
        </w:rPr>
        <w:drawing>
          <wp:inline distT="0" distB="0" distL="0" distR="0" wp14:anchorId="1C309252" wp14:editId="0E6A155B">
            <wp:extent cx="228600" cy="180975"/>
            <wp:effectExtent l="0" t="0" r="0" b="9525"/>
            <wp:docPr id="15" name="Picture 15" descr="C:\Users\Василий\Desktop\Нов лек ТЭС\Лекции ТЭС последние\ГЛАВА 2_files\image3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Василий\Desktop\Нов лек ТЭС\Лекции ТЭС последние\ГЛАВА 2_files\image314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в от</w:t>
      </w:r>
      <w:r>
        <w:softHyphen/>
        <w:t>дельных подлучах удовлетворяет условию</w:t>
      </w:r>
    </w:p>
    <w:p w:rsidR="00F73F47" w:rsidRDefault="00F73F47" w:rsidP="00F73F47">
      <w:pPr>
        <w:jc w:val="center"/>
      </w:pPr>
      <w:r>
        <w:rPr>
          <w:noProof/>
          <w:vertAlign w:val="subscript"/>
        </w:rPr>
        <w:drawing>
          <wp:inline distT="0" distB="0" distL="0" distR="0" wp14:anchorId="16C1F511" wp14:editId="29E338B6">
            <wp:extent cx="752475" cy="228600"/>
            <wp:effectExtent l="0" t="0" r="9525" b="0"/>
            <wp:docPr id="16" name="Picture 16" descr="C:\Users\Василий\Desktop\Нов лек ТЭС\Лекции ТЭС последние\ГЛАВА 2_files\image3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Василий\Desktop\Нов лек ТЭС\Лекции ТЭС последние\ГЛАВА 2_files\image384.gif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                     (19.4)</w:t>
      </w:r>
    </w:p>
    <w:p w:rsidR="00F73F47" w:rsidRDefault="00F73F47" w:rsidP="00F73F47">
      <w:pPr>
        <w:jc w:val="center"/>
      </w:pPr>
      <w:r>
        <w:t xml:space="preserve">где </w:t>
      </w:r>
      <w:r>
        <w:rPr>
          <w:lang w:val="en-US"/>
        </w:rPr>
        <w:t>F</w:t>
      </w:r>
      <w:r>
        <w:rPr>
          <w:vertAlign w:val="subscript"/>
          <w:lang w:val="en-US"/>
        </w:rPr>
        <w:t>c</w:t>
      </w:r>
      <w:r>
        <w:t xml:space="preserve"> - ширина спектра сигнала, то изменения начальных фаз на разных час</w:t>
      </w:r>
      <w:r>
        <w:softHyphen/>
        <w:t xml:space="preserve">тотах </w:t>
      </w:r>
      <w:r>
        <w:rPr>
          <w:noProof/>
          <w:vertAlign w:val="subscript"/>
        </w:rPr>
        <w:drawing>
          <wp:inline distT="0" distB="0" distL="0" distR="0" wp14:anchorId="0D03660D" wp14:editId="566EC295">
            <wp:extent cx="152400" cy="142875"/>
            <wp:effectExtent l="0" t="0" r="0" b="9525"/>
            <wp:docPr id="17" name="Picture 17" descr="C:\Users\Василий\Desktop\Нов лек ТЭС\Лекции ТЭС последние\ГЛАВА 2_files\image3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Василий\Desktop\Нов лек ТЭС\Лекции ТЭС последние\ГЛАВА 2_files\image374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в спектре сигнала, равные </w:t>
      </w:r>
      <w:r>
        <w:rPr>
          <w:noProof/>
          <w:vertAlign w:val="subscript"/>
        </w:rPr>
        <w:drawing>
          <wp:inline distT="0" distB="0" distL="0" distR="0" wp14:anchorId="722BC15E" wp14:editId="13A61AED">
            <wp:extent cx="333375" cy="180975"/>
            <wp:effectExtent l="0" t="0" r="9525" b="9525"/>
            <wp:docPr id="18" name="Picture 18" descr="C:\Users\Василий\Desktop\Нов лек ТЭС\Лекции ТЭС последние\ГЛАВА 2_files\image3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Василий\Desktop\Нов лек ТЭС\Лекции ТЭС последние\ГЛАВА 2_files\image385.gif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почти одинаковы. При этом все состав</w:t>
      </w:r>
      <w:r>
        <w:softHyphen/>
        <w:t>ляющие спектра сигнала замирают "дружно", т.е. их амплитуды и фазы изме</w:t>
      </w:r>
      <w:r>
        <w:softHyphen/>
        <w:t xml:space="preserve">няются одинаково. Такие </w:t>
      </w:r>
      <w:r>
        <w:rPr>
          <w:i/>
          <w:iCs/>
        </w:rPr>
        <w:t>замирания</w:t>
      </w:r>
      <w:r>
        <w:t xml:space="preserve"> называются общими или </w:t>
      </w:r>
      <w:r>
        <w:rPr>
          <w:i/>
          <w:iCs/>
        </w:rPr>
        <w:t>гладкими</w:t>
      </w:r>
      <w:r>
        <w:t>. Ес</w:t>
      </w:r>
      <w:r>
        <w:softHyphen/>
        <w:t>ли же условие (19.4) не выполнено, то в разных областях спектра сигнала про</w:t>
      </w:r>
      <w:r>
        <w:softHyphen/>
        <w:t>цессы замираний не совпадают (</w:t>
      </w:r>
      <w:r>
        <w:rPr>
          <w:i/>
          <w:iCs/>
        </w:rPr>
        <w:t>селективные по частоте замирания</w:t>
      </w:r>
      <w:r>
        <w:t>). При этом наблюдаются существенные изменения формы сигнала, что характерно для многолучевых каналов радиосвязи (приходящие в точку приёма сигналы образованы отражением от сильно разнесённых в пространстве рассеивающих объ</w:t>
      </w:r>
      <w:r>
        <w:softHyphen/>
        <w:t>ёмов).</w:t>
      </w:r>
    </w:p>
    <w:p w:rsidR="00F73F47" w:rsidRDefault="00F73F47" w:rsidP="00F73F47">
      <w:pPr>
        <w:jc w:val="center"/>
      </w:pPr>
      <w:r>
        <w:t>В каналах связи аддитивные помехи вызываются различными причинами и могут принимать различные формы, индивидуальные реализации которых трудно учесть. Именно эти помехи чаще вызывают необратимые преобразова</w:t>
      </w:r>
      <w:r>
        <w:softHyphen/>
        <w:t>ния передаваемых сигналов. Аддитивные помехи по их электрической и статистической структуре разделяют на три ос</w:t>
      </w:r>
      <w:r>
        <w:softHyphen/>
        <w:t>новных класса: флуктуационные (распределённые по частоте и времени), со</w:t>
      </w:r>
      <w:r>
        <w:softHyphen/>
        <w:t>средоточенные по частоте (квазигармонические) и сосредоточенные во време</w:t>
      </w:r>
      <w:r>
        <w:softHyphen/>
        <w:t xml:space="preserve">ни (импульсные). С физической точки зрения </w:t>
      </w:r>
      <w:r>
        <w:rPr>
          <w:i/>
          <w:iCs/>
        </w:rPr>
        <w:t>аддитивные флуктуа</w:t>
      </w:r>
      <w:r>
        <w:rPr>
          <w:i/>
          <w:iCs/>
        </w:rPr>
        <w:softHyphen/>
        <w:t xml:space="preserve">ционные помехи </w:t>
      </w:r>
      <w:r>
        <w:t>порождаются в системах связи различного рода флуктуациями, т.е. случайными отклонениями тех или иных физических величин (параметров) от их средних значений. Так, источником шума в электрических цепях могут быть флуктуации тока, обусловленные дискретной природой носи</w:t>
      </w:r>
      <w:r>
        <w:softHyphen/>
        <w:t xml:space="preserve">телей заряда (электронов, ионов). Дискретная природа электрического тока проявляется в полупроводниковых приборах в виде </w:t>
      </w:r>
      <w:r>
        <w:rPr>
          <w:i/>
          <w:iCs/>
        </w:rPr>
        <w:t>дро</w:t>
      </w:r>
      <w:r>
        <w:rPr>
          <w:i/>
          <w:iCs/>
        </w:rPr>
        <w:softHyphen/>
        <w:t>бового эффекта</w:t>
      </w:r>
      <w:r>
        <w:t xml:space="preserve"> (при заданном режиме питания схем случайно меняется число создаваемых носителей заряда). Если учесть, что </w:t>
      </w:r>
      <w:r>
        <w:rPr>
          <w:noProof/>
          <w:vertAlign w:val="subscript"/>
        </w:rPr>
        <w:drawing>
          <wp:inline distT="0" distB="0" distL="0" distR="0" wp14:anchorId="6663BF9A" wp14:editId="1BBA580E">
            <wp:extent cx="762000" cy="238125"/>
            <wp:effectExtent l="0" t="0" r="0" b="9525"/>
            <wp:docPr id="19" name="Picture 19" descr="C:\Users\Василий\Desktop\Нов лек ТЭС\Лекции ТЭС последние\ГЛАВА 2_files\image3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Василий\Desktop\Нов лек ТЭС\Лекции ТЭС последние\ГЛАВА 2_files\image386.gif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то удельная дисперсия флуктуационного тока (А</w:t>
      </w:r>
      <w:r>
        <w:rPr>
          <w:vertAlign w:val="superscript"/>
        </w:rPr>
        <w:t>2</w:t>
      </w:r>
      <w:r>
        <w:t>/Гц), приходящаяся на полосу частот в 1 Гц,</w:t>
      </w:r>
    </w:p>
    <w:p w:rsidR="00F73F47" w:rsidRDefault="00F73F47" w:rsidP="00F73F47">
      <w:pPr>
        <w:jc w:val="center"/>
      </w:pP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0</w:t>
      </w:r>
      <w:r>
        <w:rPr>
          <w:i/>
          <w:iCs/>
        </w:rPr>
        <w:t>=2</w:t>
      </w:r>
      <w:proofErr w:type="spellStart"/>
      <w:r>
        <w:rPr>
          <w:i/>
          <w:iCs/>
          <w:lang w:val="en-US"/>
        </w:rPr>
        <w:t>eI</w:t>
      </w:r>
      <w:proofErr w:type="spellEnd"/>
      <w:r>
        <w:rPr>
          <w:i/>
          <w:iCs/>
          <w:vertAlign w:val="subscript"/>
        </w:rPr>
        <w:t>0</w:t>
      </w:r>
      <w:r>
        <w:t>.                               (19.5)</w:t>
      </w:r>
    </w:p>
    <w:p w:rsidR="00F73F47" w:rsidRDefault="00F73F47" w:rsidP="00F73F47">
      <w:pPr>
        <w:jc w:val="center"/>
      </w:pPr>
      <w:r>
        <w:t xml:space="preserve">Это соотношение получило в радиотехнике название </w:t>
      </w:r>
      <w:r>
        <w:rPr>
          <w:i/>
          <w:iCs/>
        </w:rPr>
        <w:t>формулы Шотки.</w:t>
      </w:r>
      <w:r>
        <w:t xml:space="preserve"> Согласно ей, эквивалентная шумовая схема электронного прибора содержит в себе источник тока, создающий белый шум со спектральной плотностью</w:t>
      </w:r>
      <w:r>
        <w:rPr>
          <w:i/>
          <w:iCs/>
        </w:rPr>
        <w:t xml:space="preserve"> </w:t>
      </w:r>
      <w:r>
        <w:rPr>
          <w:lang w:val="en-US"/>
        </w:rPr>
        <w:t>N</w:t>
      </w:r>
      <w:r>
        <w:rPr>
          <w:vertAlign w:val="subscript"/>
        </w:rPr>
        <w:t>0</w:t>
      </w:r>
      <w:r>
        <w:t>.</w:t>
      </w:r>
    </w:p>
    <w:p w:rsidR="00F73F47" w:rsidRDefault="00F73F47" w:rsidP="00F73F47">
      <w:pPr>
        <w:jc w:val="center"/>
      </w:pPr>
      <w:r>
        <w:t>Дробовой шум электронных приборов имеет постоянный спектр мощности вплоть до частот в несколько сотен мегагерц, а затем начинает уменьшаться с ростом частоты.</w:t>
      </w:r>
    </w:p>
    <w:p w:rsidR="00F73F47" w:rsidRDefault="00F73F47" w:rsidP="00F73F47">
      <w:pPr>
        <w:jc w:val="center"/>
      </w:pPr>
      <w:r>
        <w:t xml:space="preserve">Наиболее распространённой причиной шума в аппаратуре связи являются флуктуации, обусловленные </w:t>
      </w:r>
      <w:r>
        <w:rPr>
          <w:i/>
          <w:iCs/>
        </w:rPr>
        <w:t>тепловым движением</w:t>
      </w:r>
      <w:r>
        <w:t>. Одной из главных причин возникновения шума являются флуктуации объемной плотности электрического заряда в проводящих телах (резисторах) из-за хаотического теплового движения носителей заряда. Случайное тепловое движе</w:t>
      </w:r>
      <w:r>
        <w:softHyphen/>
        <w:t>ние носителей заряда в любом проводнике вызывает случайную разность по</w:t>
      </w:r>
      <w:r>
        <w:softHyphen/>
        <w:t>тенциалов (напряжения) на его концах. Среднее значение такого напряжения равно нулю, а переменная составляющая проявляется как шум. Тепловой шум на входе приёмника представляет собой случайный гауссовский процесс с ну</w:t>
      </w:r>
      <w:r>
        <w:softHyphen/>
        <w:t>левым средним и спектральной плотностью мощности</w:t>
      </w:r>
      <w:r>
        <w:rPr>
          <w:i/>
          <w:iCs/>
        </w:rPr>
        <w:t xml:space="preserve"> - Формула Найквиста</w:t>
      </w:r>
    </w:p>
    <w:p w:rsidR="00F73F47" w:rsidRDefault="00F73F47" w:rsidP="00F73F47">
      <w:pPr>
        <w:jc w:val="center"/>
      </w:pPr>
      <w:r>
        <w:rPr>
          <w:i/>
          <w:iCs/>
          <w:lang w:val="en-US"/>
        </w:rPr>
        <w:t>No</w:t>
      </w:r>
      <w:r w:rsidRPr="00DF3D91">
        <w:rPr>
          <w:i/>
          <w:iCs/>
        </w:rPr>
        <w:t xml:space="preserve"> </w:t>
      </w:r>
      <w:r>
        <w:t xml:space="preserve">= </w:t>
      </w:r>
      <w:r>
        <w:rPr>
          <w:i/>
          <w:iCs/>
        </w:rPr>
        <w:t>2</w:t>
      </w:r>
      <w:proofErr w:type="spellStart"/>
      <w:r>
        <w:rPr>
          <w:i/>
          <w:iCs/>
          <w:lang w:val="en-US"/>
        </w:rPr>
        <w:t>Wo</w:t>
      </w:r>
      <w:proofErr w:type="spellEnd"/>
      <w:r>
        <w:rPr>
          <w:i/>
          <w:iCs/>
        </w:rPr>
        <w:t xml:space="preserve"> = 4</w:t>
      </w:r>
      <w:proofErr w:type="spellStart"/>
      <w:r>
        <w:rPr>
          <w:i/>
          <w:iCs/>
          <w:lang w:val="en-US"/>
        </w:rPr>
        <w:t>kTR</w:t>
      </w:r>
      <w:proofErr w:type="spellEnd"/>
      <w:r>
        <w:rPr>
          <w:i/>
          <w:iCs/>
        </w:rPr>
        <w:t>.</w:t>
      </w:r>
      <w:r>
        <w:t>                    (19.6)</w:t>
      </w:r>
    </w:p>
    <w:p w:rsidR="00F73F47" w:rsidRDefault="00F73F47" w:rsidP="00F73F47">
      <w:pPr>
        <w:jc w:val="center"/>
      </w:pPr>
      <w:r>
        <w:t xml:space="preserve">Специфическим для полупроводниковых приборов является шум, называемый </w:t>
      </w:r>
      <w:r>
        <w:rPr>
          <w:i/>
          <w:iCs/>
        </w:rPr>
        <w:t>фликер-шумом</w:t>
      </w:r>
      <w:r>
        <w:t xml:space="preserve">, который возникает в результате разного рода поверхностных явлений. Его спектральная плотность в широком диапазоне частот подчиняется гиперболическому закону (она пропорциональна </w:t>
      </w:r>
      <w:r>
        <w:rPr>
          <w:i/>
          <w:iCs/>
        </w:rPr>
        <w:t>1/</w:t>
      </w:r>
      <w:r>
        <w:rPr>
          <w:i/>
          <w:iCs/>
          <w:lang w:val="en-US"/>
        </w:rPr>
        <w:t>f</w:t>
      </w:r>
      <w:r>
        <w:t xml:space="preserve"> ). Обычно на частотах выше 10 кГц фликер-шумами пренебрегают. Космические помехи в системах радиосвязи, вызванные радиоизлучением солнца и других космических объектов – это флуктуационные шу</w:t>
      </w:r>
      <w:r>
        <w:softHyphen/>
        <w:t xml:space="preserve">мы. Источником шума в радиотехническом устройстве может быть </w:t>
      </w:r>
      <w:r>
        <w:rPr>
          <w:i/>
          <w:iCs/>
        </w:rPr>
        <w:t>приемная антенна</w:t>
      </w:r>
      <w:r>
        <w:t xml:space="preserve">, на выходе которой возникает случайное напряжение под воздействием хаотических флуктуации электромагнитного поля. Поскольку на выходе антенны, малой по сравнению с длиной волны, возникает напряжение </w:t>
      </w:r>
      <w:r>
        <w:rPr>
          <w:i/>
          <w:iCs/>
        </w:rPr>
        <w:t xml:space="preserve">и = </w:t>
      </w:r>
      <w:r>
        <w:rPr>
          <w:i/>
          <w:iCs/>
          <w:lang w:val="en-US"/>
        </w:rPr>
        <w:t>El</w:t>
      </w:r>
      <w:r>
        <w:rPr>
          <w:i/>
          <w:iCs/>
        </w:rPr>
        <w:t xml:space="preserve">. </w:t>
      </w:r>
      <w:r>
        <w:t>У естественных помех земного происхождения подавляющая часть мощности этого шума сосредоточена на частотах ниже 30 МГц.</w:t>
      </w:r>
    </w:p>
    <w:p w:rsidR="00F73F47" w:rsidRDefault="00F73F47" w:rsidP="00F73F47">
      <w:pPr>
        <w:jc w:val="center"/>
      </w:pPr>
      <w:r>
        <w:t xml:space="preserve">К </w:t>
      </w:r>
      <w:r>
        <w:rPr>
          <w:i/>
          <w:iCs/>
        </w:rPr>
        <w:t>сосредоточенным по спектру адди</w:t>
      </w:r>
      <w:r>
        <w:rPr>
          <w:i/>
          <w:iCs/>
        </w:rPr>
        <w:softHyphen/>
        <w:t>тивным помехам</w:t>
      </w:r>
      <w:r>
        <w:t xml:space="preserve"> принято относить сигналы посторонних радиостанций, пред</w:t>
      </w:r>
      <w:r>
        <w:softHyphen/>
        <w:t>намеренные помехи, излучения генераторов высокой частоты различного на</w:t>
      </w:r>
      <w:r>
        <w:softHyphen/>
        <w:t>значения (промышленных, медицинских) и т.п. В общем случае это модулиро</w:t>
      </w:r>
      <w:r>
        <w:softHyphen/>
        <w:t>ванные колебания, т.е. квазигармонические колебания с изменяющимися па</w:t>
      </w:r>
      <w:r>
        <w:softHyphen/>
        <w:t>раметрами. В одних случаях эти колебания являются непрерывными (например, сигналы вещательных и телевизионных радиостанций), в других - они носят импульсный характер (сигналы радиотелеграфных станций и систем передачи данных). Ширина спектра сосредото</w:t>
      </w:r>
      <w:r>
        <w:softHyphen/>
        <w:t>ченной помехи в большинстве случаев не превышает полосы пропускания приёмника, а в некоторых случаях она намного уже этой полосы. В диапазоне коротких волн сосредоточенные по спектру помехи являются основными, оп</w:t>
      </w:r>
      <w:r>
        <w:softHyphen/>
        <w:t>ределяющими качество связи, и считаются случайными колебаниями с флуктуациями фаз и амплитуд (замираниями), распределение которых такое же, как у полезных сигналов.</w:t>
      </w:r>
    </w:p>
    <w:p w:rsidR="00F73F47" w:rsidRDefault="00F73F47" w:rsidP="00F73F47">
      <w:pPr>
        <w:jc w:val="center"/>
      </w:pPr>
      <w:r>
        <w:t xml:space="preserve">К </w:t>
      </w:r>
      <w:r>
        <w:rPr>
          <w:i/>
          <w:iCs/>
        </w:rPr>
        <w:t>импульсным (сосредоточенным во времени) адди</w:t>
      </w:r>
      <w:r>
        <w:rPr>
          <w:i/>
          <w:iCs/>
        </w:rPr>
        <w:softHyphen/>
        <w:t>тивным помехам</w:t>
      </w:r>
      <w:r>
        <w:t xml:space="preserve"> принято относить помехи в виде одиночных импульсов, сле</w:t>
      </w:r>
      <w:r>
        <w:softHyphen/>
        <w:t>дующих один за другим через такие большие промежутки времени, что пере</w:t>
      </w:r>
      <w:r>
        <w:softHyphen/>
        <w:t>ходные явления в приёмнике от одного импульса успевают практически затух</w:t>
      </w:r>
      <w:r>
        <w:softHyphen/>
        <w:t>нуть к моменту прихода следующего импульса. К таким помехам относят мно</w:t>
      </w:r>
      <w:r>
        <w:softHyphen/>
        <w:t>гие  виды  атмосферных  и  индустриальных  помех.   Заметим,  что "флуктуационная помеха" и "импульсная помеха" являются понятиями относи</w:t>
      </w:r>
      <w:r>
        <w:softHyphen/>
        <w:t>тельными. В зависимости от частоты следования импульсов одна и та же поме</w:t>
      </w:r>
      <w:r>
        <w:softHyphen/>
        <w:t>ха может воздействовать как импульсная на приёмник с широкой полосой пропускания и как флуктуационная на приёмник с относительной узкой поло</w:t>
      </w:r>
      <w:r>
        <w:softHyphen/>
        <w:t>сой пропускания. На практике импульсные помехи приходится рассматривать как случайный, относительно широкополосный (тем шире, чем короче им</w:t>
      </w:r>
      <w:r>
        <w:softHyphen/>
        <w:t>пульсы помехи) процесс, состоящий из отдельных редких, случайно распреде</w:t>
      </w:r>
      <w:r>
        <w:softHyphen/>
        <w:t>лённых во времени и по амплитуде импульсов. Вероятностные свойства таких помех описываются распределением вероятностей амплитуд импульсов и распределением временных интер</w:t>
      </w:r>
      <w:r>
        <w:softHyphen/>
        <w:t xml:space="preserve">валов между этими импульсами с помощью </w:t>
      </w:r>
      <w:r>
        <w:rPr>
          <w:i/>
          <w:iCs/>
        </w:rPr>
        <w:t>модели Пу</w:t>
      </w:r>
      <w:r>
        <w:rPr>
          <w:i/>
          <w:iCs/>
        </w:rPr>
        <w:softHyphen/>
        <w:t xml:space="preserve">ассона </w:t>
      </w:r>
      <w:r>
        <w:t xml:space="preserve">(11.8). Обозначим символом </w:t>
      </w:r>
      <w:r>
        <w:rPr>
          <w:lang w:val="en-US"/>
        </w:rPr>
        <w:t>v</w:t>
      </w:r>
      <w:r>
        <w:t xml:space="preserve"> среднее число электронов, прибывающих на анод за 1 с. Вероятность прибытия на анод ровно </w:t>
      </w:r>
      <w:r>
        <w:rPr>
          <w:i/>
          <w:iCs/>
        </w:rPr>
        <w:t>п</w:t>
      </w:r>
      <w:r>
        <w:t xml:space="preserve"> электронов</w:t>
      </w:r>
    </w:p>
    <w:p w:rsidR="00F73F47" w:rsidRDefault="00F73F47" w:rsidP="00F73F47">
      <w:pPr>
        <w:jc w:val="center"/>
      </w:pPr>
      <w:r>
        <w:rPr>
          <w:noProof/>
          <w:vertAlign w:val="subscript"/>
        </w:rPr>
        <w:drawing>
          <wp:inline distT="0" distB="0" distL="0" distR="0" wp14:anchorId="56D0D425" wp14:editId="24677F16">
            <wp:extent cx="1028700" cy="419100"/>
            <wp:effectExtent l="0" t="0" r="0" b="0"/>
            <wp:docPr id="20" name="Picture 20" descr="C:\Users\Василий\Desktop\Нов лек ТЭС\Лекции ТЭС последние\ГЛАВА 2_files\image3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Василий\Desktop\Нов лек ТЭС\Лекции ТЭС последние\ГЛАВА 2_files\image387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            (19.7)</w:t>
      </w:r>
    </w:p>
    <w:p w:rsidR="00F73F47" w:rsidRDefault="00F73F47" w:rsidP="00F73F47">
      <w:pPr>
        <w:jc w:val="center"/>
      </w:pPr>
      <w:r>
        <w:t>Для этого закона характерно наличие существенных значений в области больших амплитуд, что соответствует реальной модели импульсной помехи. Это медленные (суточные, сезонные) флуктуации амплитуд радиосигналов, обусловленные поглощениями сигнала в среде распро</w:t>
      </w:r>
      <w:r>
        <w:softHyphen/>
        <w:t>странения.</w:t>
      </w:r>
    </w:p>
    <w:p w:rsidR="00E10DA9" w:rsidRDefault="00F73F47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C3"/>
    <w:rsid w:val="000A3B22"/>
    <w:rsid w:val="00916217"/>
    <w:rsid w:val="00DA47C3"/>
    <w:rsid w:val="00F7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F4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3F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F4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F4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3F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F4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76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15.gif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84.gif" TargetMode="External"/><Relationship Id="rId3" Type="http://schemas.openxmlformats.org/officeDocument/2006/relationships/settings" Target="settings.xm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87.gif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75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80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14.gif" TargetMode="Externa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83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86.gif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74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79.gif" TargetMode="Externa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66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82.gif" TargetMode="External"/><Relationship Id="rId23" Type="http://schemas.openxmlformats.org/officeDocument/2006/relationships/theme" Target="theme/theme1.xm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78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85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77.gif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381.gi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1478</Words>
  <Characters>8431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2020-09-24T19:34:00Z</dcterms:created>
  <dcterms:modified xsi:type="dcterms:W3CDTF">2020-09-24T19:34:00Z</dcterms:modified>
</cp:coreProperties>
</file>